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8EEC" w14:textId="03DAFCA8" w:rsidR="00F10FE2" w:rsidRDefault="00F10FE2">
      <w:pPr>
        <w:rPr>
          <w:rFonts w:cstheme="minorHAnsi"/>
          <w:b/>
          <w:bCs/>
          <w:color w:val="000000" w:themeColor="text1"/>
          <w:sz w:val="24"/>
          <w:szCs w:val="24"/>
        </w:rPr>
      </w:pPr>
      <w:r w:rsidRPr="00F10FE2">
        <w:rPr>
          <w:rFonts w:cstheme="minorHAnsi"/>
          <w:b/>
          <w:bCs/>
          <w:color w:val="000000" w:themeColor="text1"/>
          <w:sz w:val="24"/>
          <w:szCs w:val="24"/>
        </w:rPr>
        <w:t>PROTECT TEXAN</w:t>
      </w:r>
      <w:r w:rsidR="008C2789">
        <w:rPr>
          <w:rFonts w:cstheme="minorHAnsi"/>
          <w:b/>
          <w:bCs/>
          <w:color w:val="000000" w:themeColor="text1"/>
          <w:sz w:val="24"/>
          <w:szCs w:val="24"/>
        </w:rPr>
        <w:t>’</w:t>
      </w:r>
      <w:r w:rsidRPr="00F10FE2">
        <w:rPr>
          <w:rFonts w:cstheme="minorHAnsi"/>
          <w:b/>
          <w:bCs/>
          <w:color w:val="000000" w:themeColor="text1"/>
          <w:sz w:val="24"/>
          <w:szCs w:val="24"/>
        </w:rPr>
        <w:t>S SOVEREIGN OWNERSHIP OF THE</w:t>
      </w:r>
      <w:r w:rsidR="00C00764">
        <w:rPr>
          <w:rFonts w:cstheme="minorHAnsi"/>
          <w:b/>
          <w:bCs/>
          <w:color w:val="000000" w:themeColor="text1"/>
          <w:sz w:val="24"/>
          <w:szCs w:val="24"/>
        </w:rPr>
        <w:t>IR</w:t>
      </w:r>
      <w:r w:rsidRPr="00F10FE2">
        <w:rPr>
          <w:rFonts w:cstheme="minorHAnsi"/>
          <w:b/>
          <w:bCs/>
          <w:color w:val="000000" w:themeColor="text1"/>
          <w:sz w:val="24"/>
          <w:szCs w:val="24"/>
        </w:rPr>
        <w:t xml:space="preserve"> DNA</w:t>
      </w:r>
    </w:p>
    <w:p w14:paraId="7F514EF8" w14:textId="30D39050" w:rsidR="005C4753" w:rsidRDefault="005C4753">
      <w:r>
        <w:rPr>
          <w:rFonts w:cstheme="minorHAnsi"/>
          <w:b/>
          <w:bCs/>
          <w:color w:val="000000" w:themeColor="text1"/>
          <w:sz w:val="24"/>
          <w:szCs w:val="24"/>
        </w:rPr>
        <w:t xml:space="preserve">WHEREAS </w:t>
      </w:r>
      <w:r>
        <w:t>STUDIES SHOW EVIDENCE OF GENE EDITING OF DNA FROM COVID-19 INJECTIONS</w:t>
      </w:r>
      <w:r w:rsidR="00C00764">
        <w:t xml:space="preserve"> AND OTHER TECHNOLOGIES</w:t>
      </w:r>
    </w:p>
    <w:p w14:paraId="504698EA" w14:textId="2C4BED53" w:rsidR="005C4753" w:rsidRDefault="005C4753">
      <w:r w:rsidRPr="00C00764">
        <w:rPr>
          <w:b/>
          <w:bCs/>
        </w:rPr>
        <w:t>WHEREAS</w:t>
      </w:r>
      <w:r>
        <w:t xml:space="preserve"> From PubMed.gov May 25, 2021 </w:t>
      </w:r>
      <w:r w:rsidR="00D900F7">
        <w:t>studies show r</w:t>
      </w:r>
      <w:r>
        <w:t xml:space="preserve">everse-transcribed SARS-CoV-2 RNA can integrate into the genome of cultured human cells and can be expressed in patient-derived tissues. </w:t>
      </w:r>
    </w:p>
    <w:p w14:paraId="72596652" w14:textId="391087BD" w:rsidR="00E23525" w:rsidRDefault="00D900F7">
      <w:r w:rsidRPr="00E23525">
        <w:rPr>
          <w:b/>
          <w:bCs/>
        </w:rPr>
        <w:t xml:space="preserve">WHEREAS </w:t>
      </w:r>
      <w:r>
        <w:t xml:space="preserve">In the </w:t>
      </w:r>
      <w:r w:rsidR="00E23525">
        <w:t xml:space="preserve">2023 </w:t>
      </w:r>
      <w:r>
        <w:t xml:space="preserve">10th Circuit U.S. Court of Appeal case of </w:t>
      </w:r>
      <w:hyperlink r:id="rId7" w:history="1">
        <w:r w:rsidRPr="00E23525">
          <w:rPr>
            <w:rStyle w:val="Hyperlink"/>
          </w:rPr>
          <w:t>Robert vs Austin</w:t>
        </w:r>
      </w:hyperlink>
      <w:r>
        <w:t xml:space="preserve">, when claims asserted </w:t>
      </w:r>
      <w:r w:rsidR="00E23525">
        <w:t>that “</w:t>
      </w:r>
      <w:r w:rsidR="00E23525" w:rsidRPr="00E23525">
        <w:rPr>
          <w:i/>
          <w:iCs/>
        </w:rPr>
        <w:t>genetic engineering agents, such as Messenger Ribonucleic Acid (“mRNA”) that likely results in the loss of vaccinated persons’ bodily sovereignty and autonomy by current law making genetically modified genomes, such as the inoculated service members, the chattel property of the patent holders in violation of the 13th Amendment</w:t>
      </w:r>
      <w:r w:rsidR="00E23525">
        <w:t>.”</w:t>
      </w:r>
    </w:p>
    <w:p w14:paraId="3722504E" w14:textId="62C1F67C" w:rsidR="00E23525" w:rsidRDefault="00E23525" w:rsidP="00E23525">
      <w:r w:rsidRPr="005C4753">
        <w:rPr>
          <w:b/>
          <w:bCs/>
        </w:rPr>
        <w:t>WHEREAS</w:t>
      </w:r>
      <w:r>
        <w:t xml:space="preserve"> In 2013, the current opinion of the United States Supreme Court Case, of ASSOCIATION FOR MOLECULAR PATHOLOGY ET AL. v. MYRIAD GENETICS, INC., the Court held: </w:t>
      </w:r>
    </w:p>
    <w:p w14:paraId="073DCD6B" w14:textId="77777777" w:rsidR="00E23525" w:rsidRDefault="00E23525" w:rsidP="00E23525">
      <w:pPr>
        <w:pStyle w:val="ListParagraph"/>
        <w:numPr>
          <w:ilvl w:val="0"/>
          <w:numId w:val="4"/>
        </w:numPr>
      </w:pPr>
      <w:r w:rsidRPr="00E23525">
        <w:rPr>
          <w:i/>
          <w:iCs/>
        </w:rPr>
        <w:t>"A naturally occurring DNA segment isa product of nature and not patent eligible merely because it has been isolated, but cDNA is patent eligible because it is not naturally occurring."</w:t>
      </w:r>
      <w:r>
        <w:t xml:space="preserve"> </w:t>
      </w:r>
      <w:proofErr w:type="spellStart"/>
      <w:r>
        <w:t>pg</w:t>
      </w:r>
      <w:proofErr w:type="spellEnd"/>
      <w:r>
        <w:t xml:space="preserve"> 2, </w:t>
      </w:r>
    </w:p>
    <w:p w14:paraId="7C57143A" w14:textId="66D07435" w:rsidR="00E23525" w:rsidRDefault="00E23525" w:rsidP="00E23525">
      <w:pPr>
        <w:pStyle w:val="ListParagraph"/>
        <w:numPr>
          <w:ilvl w:val="0"/>
          <w:numId w:val="4"/>
        </w:numPr>
      </w:pPr>
      <w:r w:rsidRPr="00E23525">
        <w:rPr>
          <w:i/>
          <w:iCs/>
        </w:rPr>
        <w:t>"It is also possible to create DNA synthetically through processes similarly well known in the field of genetics. One such method begins with an mRNA molecule and uses the natural bonding properties of nucleotides to create a new, synthetic DNA molecule."</w:t>
      </w:r>
      <w:r>
        <w:t xml:space="preserve"> </w:t>
      </w:r>
      <w:proofErr w:type="spellStart"/>
      <w:r>
        <w:t>pg</w:t>
      </w:r>
      <w:proofErr w:type="spellEnd"/>
      <w:r>
        <w:t xml:space="preserve"> 6,</w:t>
      </w:r>
    </w:p>
    <w:p w14:paraId="4FA1026A" w14:textId="0C73E561" w:rsidR="00E23525" w:rsidRDefault="00E23525" w:rsidP="00E23525">
      <w:pPr>
        <w:pStyle w:val="ListParagraph"/>
        <w:numPr>
          <w:ilvl w:val="0"/>
          <w:numId w:val="4"/>
        </w:numPr>
      </w:pPr>
      <w:r w:rsidRPr="00E23525">
        <w:rPr>
          <w:i/>
          <w:iCs/>
        </w:rPr>
        <w:t>"</w:t>
      </w:r>
      <w:proofErr w:type="gramStart"/>
      <w:r w:rsidRPr="00E23525">
        <w:rPr>
          <w:b/>
          <w:bCs/>
          <w:i/>
          <w:iCs/>
        </w:rPr>
        <w:t>all</w:t>
      </w:r>
      <w:proofErr w:type="gramEnd"/>
      <w:r w:rsidRPr="00E23525">
        <w:rPr>
          <w:b/>
          <w:bCs/>
          <w:i/>
          <w:iCs/>
        </w:rPr>
        <w:t xml:space="preserve"> three [judges] agreed that patent claims relating to cDNA met the patent eligibility requirements.</w:t>
      </w:r>
      <w:r w:rsidRPr="00E23525">
        <w:rPr>
          <w:i/>
          <w:iCs/>
        </w:rPr>
        <w:t>"</w:t>
      </w:r>
      <w:r>
        <w:t xml:space="preserve"> </w:t>
      </w:r>
      <w:proofErr w:type="spellStart"/>
      <w:r>
        <w:t>pg</w:t>
      </w:r>
      <w:proofErr w:type="spellEnd"/>
      <w:r>
        <w:t xml:space="preserve"> 13. </w:t>
      </w:r>
      <w:r>
        <w:br/>
      </w:r>
    </w:p>
    <w:p w14:paraId="4AF57B89" w14:textId="77777777" w:rsidR="00E23525" w:rsidRDefault="00E23525">
      <w:pPr>
        <w:rPr>
          <w:b/>
          <w:bCs/>
        </w:rPr>
      </w:pPr>
      <w:r w:rsidRPr="00E23525">
        <w:rPr>
          <w:b/>
          <w:bCs/>
        </w:rPr>
        <w:t>WHEREAS</w:t>
      </w:r>
      <w:r>
        <w:t xml:space="preserve"> Per current Supreme Court Ruling in ASSOCIATION FOR MOLECULAR PATHOLOGY ET AL. v. MYRIAD GENETICS, INC., organisms containing patented composite DNA (CDNA) are property of the patent holders.</w:t>
      </w:r>
      <w:r>
        <w:br/>
      </w:r>
    </w:p>
    <w:p w14:paraId="2A76ECA2" w14:textId="29700ED3" w:rsidR="005C4753" w:rsidRDefault="00C00764">
      <w:r w:rsidRPr="005C4753">
        <w:rPr>
          <w:b/>
          <w:bCs/>
        </w:rPr>
        <w:t>W</w:t>
      </w:r>
      <w:r w:rsidR="00E23525">
        <w:rPr>
          <w:b/>
          <w:bCs/>
        </w:rPr>
        <w:t>H</w:t>
      </w:r>
      <w:r w:rsidRPr="005C4753">
        <w:rPr>
          <w:b/>
          <w:bCs/>
        </w:rPr>
        <w:t>EREAS</w:t>
      </w:r>
      <w:r>
        <w:t xml:space="preserve"> </w:t>
      </w:r>
      <w:r w:rsidR="005C4753">
        <w:t>In 2023 Texas 88</w:t>
      </w:r>
      <w:r w:rsidR="005C4753" w:rsidRPr="005C4753">
        <w:rPr>
          <w:vertAlign w:val="superscript"/>
        </w:rPr>
        <w:t>th</w:t>
      </w:r>
      <w:r w:rsidR="005C4753">
        <w:t xml:space="preserve"> Legislative session, Senator Lois Kolkhorst authored S</w:t>
      </w:r>
      <w:r>
        <w:t>enate Bill</w:t>
      </w:r>
      <w:r w:rsidR="005C4753">
        <w:t xml:space="preserve"> 2086 which would have established ownership of DNA but the </w:t>
      </w:r>
      <w:r>
        <w:t>SB 2086</w:t>
      </w:r>
      <w:r w:rsidR="005C4753">
        <w:t xml:space="preserve"> died when Speaker Phelan referred to House Business and Industry Committee by Democrat chair Oscar Longoria</w:t>
      </w:r>
      <w:r>
        <w:t xml:space="preserve"> and it never received a hearing</w:t>
      </w:r>
      <w:r w:rsidR="005C4753">
        <w:t xml:space="preserve">. </w:t>
      </w:r>
    </w:p>
    <w:p w14:paraId="514B7783" w14:textId="071A9790" w:rsidR="005C4753" w:rsidRDefault="005C4753" w:rsidP="005C4753">
      <w:r w:rsidRPr="005C4753">
        <w:rPr>
          <w:b/>
          <w:bCs/>
        </w:rPr>
        <w:t>WJEREAS</w:t>
      </w:r>
      <w:r>
        <w:t xml:space="preserve"> SB 2086 was supported by the 2022 Texas Republican Party Platform #219: "All humans are endowed by their creator with sovereign rights of ownership of their person and DNA, regardless of any DNA modification, and claims to the contrary are invalid." </w:t>
      </w:r>
    </w:p>
    <w:p w14:paraId="756DEA69" w14:textId="6DE47B26" w:rsidR="005C4753" w:rsidRDefault="005C4753" w:rsidP="005C4753">
      <w:pPr>
        <w:rPr>
          <w:rFonts w:cstheme="minorHAnsi"/>
          <w:color w:val="000000" w:themeColor="text1"/>
          <w:sz w:val="24"/>
          <w:szCs w:val="24"/>
        </w:rPr>
      </w:pPr>
      <w:r w:rsidRPr="0043183B">
        <w:rPr>
          <w:rFonts w:cstheme="minorHAnsi"/>
          <w:b/>
          <w:bCs/>
          <w:color w:val="000000" w:themeColor="text1"/>
          <w:sz w:val="24"/>
          <w:szCs w:val="24"/>
        </w:rPr>
        <w:t>NOW, THEREFORE, BE IT RESOLVED</w:t>
      </w:r>
      <w:r w:rsidRPr="0043183B">
        <w:rPr>
          <w:rFonts w:cstheme="minorHAnsi"/>
          <w:color w:val="000000" w:themeColor="text1"/>
          <w:sz w:val="24"/>
          <w:szCs w:val="24"/>
        </w:rPr>
        <w:t xml:space="preserve"> that the Texas Legislature pass legislation</w:t>
      </w:r>
      <w:r>
        <w:rPr>
          <w:rFonts w:cstheme="minorHAnsi"/>
          <w:color w:val="000000" w:themeColor="text1"/>
          <w:sz w:val="24"/>
          <w:szCs w:val="24"/>
        </w:rPr>
        <w:t xml:space="preserve"> to establish that the sovereign right of ownership of DNA is to the man, woman or child that possesses the DNA created by their conception and any alterations</w:t>
      </w:r>
      <w:r w:rsidR="00C00764">
        <w:rPr>
          <w:rFonts w:cstheme="minorHAnsi"/>
          <w:color w:val="000000" w:themeColor="text1"/>
          <w:sz w:val="24"/>
          <w:szCs w:val="24"/>
        </w:rPr>
        <w:t>, modifications, or adulterations that may have occurred</w:t>
      </w:r>
      <w:r w:rsidR="008C2789">
        <w:rPr>
          <w:rFonts w:cstheme="minorHAnsi"/>
          <w:color w:val="000000" w:themeColor="text1"/>
          <w:sz w:val="24"/>
          <w:szCs w:val="24"/>
        </w:rPr>
        <w:t>.</w:t>
      </w:r>
    </w:p>
    <w:p w14:paraId="4B8B9D13" w14:textId="4AB7F93F" w:rsidR="00D900F7" w:rsidRPr="00E23525" w:rsidRDefault="00D900F7" w:rsidP="00D900F7">
      <w:pPr>
        <w:rPr>
          <w:rFonts w:cstheme="minorHAnsi"/>
        </w:rPr>
      </w:pPr>
      <w:r w:rsidRPr="00E23525">
        <w:rPr>
          <w:rFonts w:cstheme="minorHAnsi"/>
        </w:rPr>
        <w:t>____________ Dixie Pitcox, McCulloch County Chair</w:t>
      </w:r>
    </w:p>
    <w:sectPr w:rsidR="00D900F7" w:rsidRPr="00E23525" w:rsidSect="005F2A6E">
      <w:headerReference w:type="default" r:id="rId8"/>
      <w:footerReference w:type="default" r:id="rId9"/>
      <w:pgSz w:w="12240" w:h="15840"/>
      <w:pgMar w:top="144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8793" w14:textId="77777777" w:rsidR="005F2A6E" w:rsidRDefault="005F2A6E" w:rsidP="00493E8B">
      <w:pPr>
        <w:spacing w:after="0" w:line="240" w:lineRule="auto"/>
      </w:pPr>
      <w:r>
        <w:separator/>
      </w:r>
    </w:p>
  </w:endnote>
  <w:endnote w:type="continuationSeparator" w:id="0">
    <w:p w14:paraId="70683CC7" w14:textId="77777777" w:rsidR="005F2A6E" w:rsidRDefault="005F2A6E" w:rsidP="0049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48BC" w14:textId="04D58EAD" w:rsidR="008C2789" w:rsidRDefault="008C2789">
    <w:pPr>
      <w:pStyle w:val="Footer"/>
    </w:pPr>
    <w:r>
      <w:rPr>
        <w:noProof/>
      </w:rPr>
      <mc:AlternateContent>
        <mc:Choice Requires="wps">
          <w:drawing>
            <wp:anchor distT="45720" distB="45720" distL="114300" distR="114300" simplePos="0" relativeHeight="251659264" behindDoc="0" locked="0" layoutInCell="1" allowOverlap="1" wp14:anchorId="0FCF2E3C" wp14:editId="1C47987F">
              <wp:simplePos x="0" y="0"/>
              <wp:positionH relativeFrom="column">
                <wp:posOffset>-133350</wp:posOffset>
              </wp:positionH>
              <wp:positionV relativeFrom="paragraph">
                <wp:posOffset>-661035</wp:posOffset>
              </wp:positionV>
              <wp:extent cx="6345554" cy="981709"/>
              <wp:effectExtent l="0" t="0" r="17780" b="28575"/>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4" cy="981709"/>
                      </a:xfrm>
                      <a:prstGeom prst="rect">
                        <a:avLst/>
                      </a:prstGeom>
                      <a:solidFill>
                        <a:srgbClr val="FFFFFF"/>
                      </a:solidFill>
                      <a:ln w="9525">
                        <a:solidFill>
                          <a:srgbClr val="000000"/>
                        </a:solidFill>
                        <a:miter lim="800000"/>
                        <a:headEnd/>
                        <a:tailEnd/>
                      </a:ln>
                    </wps:spPr>
                    <wps:txbx>
                      <w:txbxContent>
                        <w:p w14:paraId="3BFDC21C" w14:textId="77777777" w:rsidR="008C2789" w:rsidRDefault="008C2789" w:rsidP="008C2789">
                          <w:pPr>
                            <w:rPr>
                              <w:color w:val="1C1E21"/>
                              <w:sz w:val="21"/>
                              <w:szCs w:val="21"/>
                            </w:rPr>
                          </w:pPr>
                          <w:r>
                            <w:rPr>
                              <w:color w:val="1C1E21"/>
                              <w:sz w:val="21"/>
                              <w:szCs w:val="21"/>
                            </w:rPr>
                            <w:t>Choose one:</w:t>
                          </w:r>
                        </w:p>
                        <w:p w14:paraId="110C85B7" w14:textId="77777777" w:rsidR="008C2789" w:rsidRDefault="008C2789" w:rsidP="008C2789">
                          <w:pPr>
                            <w:rPr>
                              <w:color w:val="1C1E21"/>
                              <w:sz w:val="21"/>
                              <w:szCs w:val="21"/>
                            </w:rPr>
                          </w:pPr>
                          <w:r>
                            <w:rPr>
                              <w:color w:val="1C1E21"/>
                              <w:sz w:val="21"/>
                              <w:szCs w:val="21"/>
                            </w:rPr>
                            <w:t xml:space="preserve">Adopted by the __________________________________ (Precinct    ______) convention on March ____, 2022. </w:t>
                          </w:r>
                          <w:r>
                            <w:rPr>
                              <w:color w:val="1C1E21"/>
                              <w:sz w:val="21"/>
                              <w:szCs w:val="21"/>
                            </w:rPr>
                            <w:br/>
                          </w:r>
                        </w:p>
                        <w:p w14:paraId="28727348" w14:textId="77777777" w:rsidR="008C2789" w:rsidRDefault="008C2789" w:rsidP="008C2789">
                          <w:pPr>
                            <w:rPr>
                              <w:sz w:val="21"/>
                              <w:szCs w:val="21"/>
                            </w:rPr>
                          </w:pPr>
                          <w:r>
                            <w:rPr>
                              <w:color w:val="1C1E21"/>
                              <w:sz w:val="21"/>
                              <w:szCs w:val="21"/>
                            </w:rPr>
                            <w:t>Adopted by the __________________________________ (county/SD ______) convention on March ____, 2022.</w:t>
                          </w:r>
                        </w:p>
                        <w:p w14:paraId="49BD54AB" w14:textId="77777777" w:rsidR="008C2789" w:rsidRDefault="008C2789" w:rsidP="008C2789">
                          <w:pPr>
                            <w:rPr>
                              <w:sz w:val="24"/>
                              <w:szCs w:val="2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F2E3C" id="_x0000_t202" coordsize="21600,21600" o:spt="202" path="m,l,21600r21600,l21600,xe">
              <v:stroke joinstyle="miter"/>
              <v:path gradientshapeok="t" o:connecttype="rect"/>
            </v:shapetype>
            <v:shape id="Text Box 1" o:spid="_x0000_s1026" type="#_x0000_t202" style="position:absolute;margin-left:-10.5pt;margin-top:-52.05pt;width:499.65pt;height:7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">
              <v:textbox>
                <w:txbxContent>
                  <w:p w14:paraId="3BFDC21C" w14:textId="77777777" w:rsidR="008C2789" w:rsidRDefault="008C2789" w:rsidP="008C2789">
                    <w:pPr>
                      <w:rPr>
                        <w:color w:val="1C1E21"/>
                        <w:sz w:val="21"/>
                        <w:szCs w:val="21"/>
                      </w:rPr>
                    </w:pPr>
                    <w:r>
                      <w:rPr>
                        <w:color w:val="1C1E21"/>
                        <w:sz w:val="21"/>
                        <w:szCs w:val="21"/>
                      </w:rPr>
                      <w:t>Choose one:</w:t>
                    </w:r>
                  </w:p>
                  <w:p w14:paraId="110C85B7" w14:textId="77777777" w:rsidR="008C2789" w:rsidRDefault="008C2789" w:rsidP="008C2789">
                    <w:pPr>
                      <w:rPr>
                        <w:color w:val="1C1E21"/>
                        <w:sz w:val="21"/>
                        <w:szCs w:val="21"/>
                      </w:rPr>
                    </w:pPr>
                    <w:r>
                      <w:rPr>
                        <w:color w:val="1C1E21"/>
                        <w:sz w:val="21"/>
                        <w:szCs w:val="21"/>
                      </w:rPr>
                      <w:t xml:space="preserve">Adopted by the __________________________________ (Precinct    ______) convention on March ____, 2022. </w:t>
                    </w:r>
                    <w:r>
                      <w:rPr>
                        <w:color w:val="1C1E21"/>
                        <w:sz w:val="21"/>
                        <w:szCs w:val="21"/>
                      </w:rPr>
                      <w:br/>
                    </w:r>
                  </w:p>
                  <w:p w14:paraId="28727348" w14:textId="77777777" w:rsidR="008C2789" w:rsidRDefault="008C2789" w:rsidP="008C2789">
                    <w:pPr>
                      <w:rPr>
                        <w:sz w:val="21"/>
                        <w:szCs w:val="21"/>
                      </w:rPr>
                    </w:pPr>
                    <w:r>
                      <w:rPr>
                        <w:color w:val="1C1E21"/>
                        <w:sz w:val="21"/>
                        <w:szCs w:val="21"/>
                      </w:rPr>
                      <w:t>Adopted by the __________________________________ (county/SD ______) convention on March ____, 2022.</w:t>
                    </w:r>
                  </w:p>
                  <w:p w14:paraId="49BD54AB" w14:textId="77777777" w:rsidR="008C2789" w:rsidRDefault="008C2789" w:rsidP="008C2789">
                    <w:pPr>
                      <w:rPr>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D203" w14:textId="77777777" w:rsidR="005F2A6E" w:rsidRDefault="005F2A6E" w:rsidP="00493E8B">
      <w:pPr>
        <w:spacing w:after="0" w:line="240" w:lineRule="auto"/>
      </w:pPr>
      <w:r>
        <w:separator/>
      </w:r>
    </w:p>
  </w:footnote>
  <w:footnote w:type="continuationSeparator" w:id="0">
    <w:p w14:paraId="57AF342F" w14:textId="77777777" w:rsidR="005F2A6E" w:rsidRDefault="005F2A6E" w:rsidP="0049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7A3D" w14:textId="0254703B" w:rsidR="00493E8B" w:rsidRPr="00493E8B" w:rsidRDefault="008C2789" w:rsidP="00493E8B">
    <w:pPr>
      <w:pStyle w:val="Header"/>
      <w:jc w:val="center"/>
      <w:rPr>
        <w:b/>
        <w:bCs/>
        <w:sz w:val="28"/>
        <w:szCs w:val="28"/>
      </w:rPr>
    </w:pPr>
    <w:r>
      <w:rPr>
        <w:b/>
        <w:bCs/>
        <w:sz w:val="28"/>
        <w:szCs w:val="28"/>
      </w:rPr>
      <w:t xml:space="preserve">Proposed </w:t>
    </w:r>
    <w:r w:rsidR="00493E8B" w:rsidRPr="00493E8B">
      <w:rPr>
        <w:b/>
        <w:bCs/>
        <w:sz w:val="28"/>
        <w:szCs w:val="28"/>
      </w:rPr>
      <w:t>Resolution</w:t>
    </w:r>
    <w:r>
      <w:rPr>
        <w:b/>
        <w:bCs/>
        <w:sz w:val="28"/>
        <w:szCs w:val="28"/>
      </w:rPr>
      <w:t>s</w:t>
    </w:r>
    <w:r w:rsidR="00493E8B" w:rsidRPr="00493E8B">
      <w:rPr>
        <w:b/>
        <w:bCs/>
        <w:sz w:val="28"/>
        <w:szCs w:val="28"/>
      </w:rPr>
      <w:t xml:space="preserve"> for 202</w:t>
    </w:r>
    <w:r w:rsidR="00A13672">
      <w:rPr>
        <w:b/>
        <w:bCs/>
        <w:sz w:val="28"/>
        <w:szCs w:val="28"/>
      </w:rPr>
      <w:t xml:space="preserve">4 </w:t>
    </w:r>
    <w:r w:rsidR="00493E8B" w:rsidRPr="00493E8B">
      <w:rPr>
        <w:b/>
        <w:bCs/>
        <w:sz w:val="28"/>
        <w:szCs w:val="28"/>
      </w:rPr>
      <w:t>County Convention</w:t>
    </w:r>
    <w:r>
      <w:rPr>
        <w:b/>
        <w:bCs/>
        <w:sz w:val="28"/>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2EB7"/>
    <w:multiLevelType w:val="multilevel"/>
    <w:tmpl w:val="93CC6F9C"/>
    <w:lvl w:ilvl="0">
      <w:start w:val="1"/>
      <w:numFmt w:val="decimal"/>
      <w:lvlText w:val="%1."/>
      <w:lvlJc w:val="left"/>
      <w:pPr>
        <w:tabs>
          <w:tab w:val="num" w:pos="720"/>
        </w:tabs>
        <w:ind w:left="720" w:hanging="360"/>
      </w:pPr>
      <w:rPr>
        <w:rFonts w:ascii="&amp;quot" w:eastAsiaTheme="minorHAnsi" w:hAnsi="&amp;quot" w:cs="Calibri"/>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61A64"/>
    <w:multiLevelType w:val="hybridMultilevel"/>
    <w:tmpl w:val="484851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C3B63"/>
    <w:multiLevelType w:val="hybridMultilevel"/>
    <w:tmpl w:val="ECD2D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43530"/>
    <w:multiLevelType w:val="multilevel"/>
    <w:tmpl w:val="71E62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82047731">
    <w:abstractNumId w:val="3"/>
  </w:num>
  <w:num w:numId="2" w16cid:durableId="650600222">
    <w:abstractNumId w:val="0"/>
  </w:num>
  <w:num w:numId="3" w16cid:durableId="1871990317">
    <w:abstractNumId w:val="1"/>
  </w:num>
  <w:num w:numId="4" w16cid:durableId="91832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8B"/>
    <w:rsid w:val="000A61BB"/>
    <w:rsid w:val="00274D89"/>
    <w:rsid w:val="003C35A7"/>
    <w:rsid w:val="0043183B"/>
    <w:rsid w:val="00442D1F"/>
    <w:rsid w:val="00493E8B"/>
    <w:rsid w:val="004D089F"/>
    <w:rsid w:val="00523944"/>
    <w:rsid w:val="005C4753"/>
    <w:rsid w:val="005F2A6E"/>
    <w:rsid w:val="00607A89"/>
    <w:rsid w:val="00841A8F"/>
    <w:rsid w:val="008C2789"/>
    <w:rsid w:val="00972829"/>
    <w:rsid w:val="00A13672"/>
    <w:rsid w:val="00AF6521"/>
    <w:rsid w:val="00B00AA3"/>
    <w:rsid w:val="00BC6823"/>
    <w:rsid w:val="00C00764"/>
    <w:rsid w:val="00CF0E29"/>
    <w:rsid w:val="00D900F7"/>
    <w:rsid w:val="00E23525"/>
    <w:rsid w:val="00E53927"/>
    <w:rsid w:val="00F1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26A4B"/>
  <w15:docId w15:val="{E356F4CC-6522-47A7-A14F-30CE0B1A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8B"/>
  </w:style>
  <w:style w:type="paragraph" w:styleId="Footer">
    <w:name w:val="footer"/>
    <w:basedOn w:val="Normal"/>
    <w:link w:val="FooterChar"/>
    <w:uiPriority w:val="99"/>
    <w:unhideWhenUsed/>
    <w:rsid w:val="0049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8B"/>
  </w:style>
  <w:style w:type="character" w:customStyle="1" w:styleId="Heading1Char">
    <w:name w:val="Heading 1 Char"/>
    <w:basedOn w:val="DefaultParagraphFont"/>
    <w:link w:val="Heading1"/>
    <w:uiPriority w:val="9"/>
    <w:rsid w:val="004D089F"/>
    <w:rPr>
      <w:rFonts w:asciiTheme="majorHAnsi" w:eastAsiaTheme="majorEastAsia" w:hAnsiTheme="majorHAnsi" w:cstheme="majorBidi"/>
      <w:color w:val="2F5496" w:themeColor="accent1" w:themeShade="BF"/>
      <w:sz w:val="32"/>
      <w:szCs w:val="32"/>
    </w:rPr>
  </w:style>
  <w:style w:type="paragraph" w:customStyle="1" w:styleId="va-top">
    <w:name w:val="va-top"/>
    <w:basedOn w:val="Normal"/>
    <w:rsid w:val="00CF0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0E29"/>
    <w:rPr>
      <w:color w:val="0563C1" w:themeColor="hyperlink"/>
      <w:u w:val="single"/>
    </w:rPr>
  </w:style>
  <w:style w:type="character" w:styleId="UnresolvedMention">
    <w:name w:val="Unresolved Mention"/>
    <w:basedOn w:val="DefaultParagraphFont"/>
    <w:uiPriority w:val="99"/>
    <w:semiHidden/>
    <w:unhideWhenUsed/>
    <w:rsid w:val="00CF0E29"/>
    <w:rPr>
      <w:color w:val="605E5C"/>
      <w:shd w:val="clear" w:color="auto" w:fill="E1DFDD"/>
    </w:rPr>
  </w:style>
  <w:style w:type="paragraph" w:styleId="ListParagraph">
    <w:name w:val="List Paragraph"/>
    <w:basedOn w:val="Normal"/>
    <w:uiPriority w:val="34"/>
    <w:qFormat/>
    <w:rsid w:val="00274D89"/>
    <w:pPr>
      <w:spacing w:after="0" w:line="276" w:lineRule="auto"/>
      <w:ind w:left="720"/>
      <w:contextualSpacing/>
    </w:pPr>
  </w:style>
  <w:style w:type="paragraph" w:styleId="NormalWeb">
    <w:name w:val="Normal (Web)"/>
    <w:basedOn w:val="Normal"/>
    <w:uiPriority w:val="99"/>
    <w:unhideWhenUsed/>
    <w:rsid w:val="00274D8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4D89"/>
    <w:rPr>
      <w:b/>
      <w:bCs/>
    </w:rPr>
  </w:style>
  <w:style w:type="character" w:customStyle="1" w:styleId="lede">
    <w:name w:val="lede"/>
    <w:basedOn w:val="DefaultParagraphFont"/>
    <w:rsid w:val="00274D89"/>
  </w:style>
  <w:style w:type="character" w:styleId="Emphasis">
    <w:name w:val="Emphasis"/>
    <w:basedOn w:val="DefaultParagraphFont"/>
    <w:uiPriority w:val="20"/>
    <w:qFormat/>
    <w:rsid w:val="00274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8162">
      <w:bodyDiv w:val="1"/>
      <w:marLeft w:val="0"/>
      <w:marRight w:val="0"/>
      <w:marTop w:val="0"/>
      <w:marBottom w:val="0"/>
      <w:divBdr>
        <w:top w:val="none" w:sz="0" w:space="0" w:color="auto"/>
        <w:left w:val="none" w:sz="0" w:space="0" w:color="auto"/>
        <w:bottom w:val="none" w:sz="0" w:space="0" w:color="auto"/>
        <w:right w:val="none" w:sz="0" w:space="0" w:color="auto"/>
      </w:divBdr>
    </w:div>
    <w:div w:id="100814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xasrighttoknow.com/_files/ugd/0cceca_c83932b8dffe4bfe856627b7fb786ed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hemphillresources.com</dc:creator>
  <cp:keywords/>
  <dc:description/>
  <cp:lastModifiedBy>info hemphillresources.com</cp:lastModifiedBy>
  <cp:revision>3</cp:revision>
  <cp:lastPrinted>2024-03-23T13:30:00Z</cp:lastPrinted>
  <dcterms:created xsi:type="dcterms:W3CDTF">2024-03-27T15:59:00Z</dcterms:created>
  <dcterms:modified xsi:type="dcterms:W3CDTF">2024-03-27T17:00:00Z</dcterms:modified>
</cp:coreProperties>
</file>